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48"/>
          <w:szCs w:val="48"/>
        </w:rPr>
      </w:pPr>
    </w:p>
    <w:p>
      <w:pPr>
        <w:pStyle w:val="15"/>
        <w:ind w:firstLine="0"/>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嘉兴市第一医院</w:t>
      </w:r>
      <w:r>
        <w:rPr>
          <w:rFonts w:hint="eastAsia" w:asciiTheme="minorEastAsia" w:hAnsiTheme="minorEastAsia" w:eastAsiaTheme="minorEastAsia"/>
          <w:b/>
          <w:sz w:val="72"/>
          <w:szCs w:val="72"/>
          <w:lang w:eastAsia="zh-CN"/>
        </w:rPr>
        <w:t>网络运维维保</w:t>
      </w:r>
      <w:r>
        <w:rPr>
          <w:rFonts w:hint="eastAsia" w:asciiTheme="minorEastAsia" w:hAnsiTheme="minorEastAsia" w:eastAsiaTheme="minorEastAsia"/>
          <w:b/>
          <w:sz w:val="72"/>
          <w:szCs w:val="72"/>
        </w:rPr>
        <w:t>服务项目</w:t>
      </w:r>
    </w:p>
    <w:p>
      <w:pPr>
        <w:widowControl/>
        <w:tabs>
          <w:tab w:val="left" w:pos="284"/>
          <w:tab w:val="left" w:pos="993"/>
        </w:tabs>
        <w:snapToGrid w:val="0"/>
        <w:spacing w:before="120"/>
        <w:jc w:val="both"/>
        <w:rPr>
          <w:rFonts w:asciiTheme="minorEastAsia" w:hAnsiTheme="minorEastAsia" w:eastAsiaTheme="minorEastAsia"/>
          <w:b/>
          <w:spacing w:val="-20"/>
          <w:sz w:val="84"/>
          <w:szCs w:val="84"/>
        </w:rP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5"/>
        <w:tabs>
          <w:tab w:val="left" w:pos="284"/>
          <w:tab w:val="left" w:pos="993"/>
        </w:tabs>
        <w:ind w:firstLine="0"/>
        <w:rPr>
          <w:rFonts w:asciiTheme="minorEastAsia" w:hAnsiTheme="minorEastAsia" w:eastAsiaTheme="minorEastAsia"/>
        </w:rPr>
      </w:pPr>
    </w:p>
    <w:p>
      <w:pPr>
        <w:pStyle w:val="15"/>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嘉一采招（非）（服）〔2023〕27号</w:t>
      </w:r>
    </w:p>
    <w:p>
      <w:pPr>
        <w:pStyle w:val="15"/>
      </w:pPr>
    </w:p>
    <w:p>
      <w:pPr>
        <w:widowControl/>
        <w:tabs>
          <w:tab w:val="left" w:pos="284"/>
          <w:tab w:val="left" w:pos="993"/>
        </w:tabs>
        <w:snapToGrid w:val="0"/>
        <w:spacing w:before="120"/>
        <w:ind w:left="1659" w:leftChars="138" w:hanging="1383" w:hangingChars="492"/>
        <w:rPr>
          <w:rFonts w:asciiTheme="minorEastAsia" w:hAnsiTheme="minorEastAsia" w:eastAsiaTheme="minorEastAsia"/>
          <w:b/>
          <w:sz w:val="52"/>
          <w:szCs w:val="52"/>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eastAsia="zh-CN"/>
        </w:rPr>
        <w:t>网络运维维保</w:t>
      </w:r>
      <w:r>
        <w:rPr>
          <w:rFonts w:hint="eastAsia" w:asciiTheme="minorEastAsia" w:hAnsiTheme="minorEastAsia" w:eastAsiaTheme="minorEastAsia"/>
          <w:b/>
          <w:sz w:val="28"/>
          <w:szCs w:val="28"/>
          <w:lang w:eastAsia="zh-TW"/>
        </w:rPr>
        <w:t>服务项目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04</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21</w:t>
      </w:r>
      <w:r>
        <w:rPr>
          <w:rFonts w:asciiTheme="minorEastAsia" w:hAnsiTheme="minorEastAsia" w:eastAsiaTheme="minorEastAsia"/>
          <w:b/>
          <w:sz w:val="28"/>
          <w:szCs w:val="28"/>
        </w:rPr>
        <w:t>日</w:t>
      </w:r>
    </w:p>
    <w:p>
      <w:pPr>
        <w:pStyle w:val="15"/>
        <w:tabs>
          <w:tab w:val="left" w:pos="284"/>
          <w:tab w:val="left" w:pos="993"/>
        </w:tabs>
        <w:ind w:firstLine="0"/>
        <w:rPr>
          <w:rFonts w:asciiTheme="minorEastAsia" w:hAnsiTheme="minorEastAsia" w:eastAsiaTheme="minorEastAsia"/>
        </w:rPr>
      </w:pPr>
    </w:p>
    <w:p>
      <w:pPr>
        <w:pStyle w:val="20"/>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5"/>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网络运维维保</w:t>
      </w:r>
      <w:r>
        <w:rPr>
          <w:rFonts w:hint="eastAsia" w:asciiTheme="minorEastAsia" w:hAnsiTheme="minorEastAsia" w:eastAsiaTheme="minorEastAsia"/>
          <w:kern w:val="2"/>
          <w:sz w:val="24"/>
          <w:szCs w:val="24"/>
        </w:rPr>
        <w:t>服务项目的潜在投标人可在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2023年04月28日 14:00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0"/>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嘉一采招（非）（服）〔2023〕27号</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项目名称：嘉兴市第一医院</w:t>
      </w:r>
      <w:r>
        <w:rPr>
          <w:rFonts w:hint="eastAsia" w:cs="宋体" w:asciiTheme="minorEastAsia" w:hAnsiTheme="minorEastAsia"/>
          <w:kern w:val="1"/>
          <w:sz w:val="24"/>
          <w:lang w:eastAsia="zh-CN"/>
        </w:rPr>
        <w:t>网络运维维保</w:t>
      </w:r>
      <w:r>
        <w:rPr>
          <w:rFonts w:hint="eastAsia" w:cs="宋体" w:asciiTheme="minorEastAsia" w:hAnsiTheme="minorEastAsia"/>
          <w:kern w:val="1"/>
          <w:sz w:val="24"/>
        </w:rPr>
        <w:t>服务项目</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cs="宋体" w:asciiTheme="minorEastAsia" w:hAnsiTheme="minorEastAsia"/>
          <w:kern w:val="1"/>
          <w:sz w:val="24"/>
        </w:rPr>
        <w:t>预算金额</w:t>
      </w:r>
      <w:r>
        <w:rPr>
          <w:rFonts w:hint="eastAsia" w:cs="宋体" w:asciiTheme="minorEastAsia" w:hAnsiTheme="minorEastAsia"/>
          <w:kern w:val="1"/>
          <w:sz w:val="24"/>
        </w:rPr>
        <w:t>：9.</w:t>
      </w:r>
      <w:r>
        <w:rPr>
          <w:rFonts w:hint="eastAsia" w:cs="宋体" w:asciiTheme="minorEastAsia" w:hAnsiTheme="minorEastAsia"/>
          <w:kern w:val="1"/>
          <w:sz w:val="24"/>
          <w:lang w:val="en-US" w:eastAsia="zh-CN"/>
        </w:rPr>
        <w:t>4</w:t>
      </w:r>
      <w:r>
        <w:rPr>
          <w:rFonts w:hint="eastAsia" w:cs="宋体" w:asciiTheme="minorEastAsia" w:hAnsiTheme="minorEastAsia"/>
          <w:kern w:val="1"/>
          <w:sz w:val="24"/>
        </w:rPr>
        <w:t>万元</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r>
        <w:rPr>
          <w:rFonts w:hint="eastAsia" w:cs="宋体" w:asciiTheme="minorEastAsia" w:hAnsiTheme="minorEastAsia"/>
          <w:kern w:val="1"/>
          <w:sz w:val="24"/>
          <w:lang w:eastAsia="zh-CN"/>
        </w:rPr>
        <w:t>网络运维维保</w:t>
      </w:r>
      <w:r>
        <w:rPr>
          <w:rFonts w:hint="eastAsia" w:cs="宋体" w:asciiTheme="minorEastAsia" w:hAnsiTheme="minorEastAsia"/>
          <w:kern w:val="1"/>
          <w:sz w:val="24"/>
        </w:rPr>
        <w:t>服务</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服务期：</w:t>
      </w:r>
      <w:r>
        <w:rPr>
          <w:rFonts w:hint="eastAsia" w:cs="宋体" w:asciiTheme="minorEastAsia" w:hAnsiTheme="minorEastAsia"/>
          <w:kern w:val="1"/>
          <w:sz w:val="24"/>
          <w:lang w:val="en-US" w:eastAsia="zh-CN"/>
        </w:rPr>
        <w:t>两</w:t>
      </w:r>
      <w:r>
        <w:rPr>
          <w:rFonts w:hint="eastAsia" w:cs="宋体" w:asciiTheme="minorEastAsia" w:hAnsiTheme="minorEastAsia"/>
          <w:kern w:val="1"/>
          <w:sz w:val="24"/>
        </w:rPr>
        <w:t>年</w:t>
      </w:r>
    </w:p>
    <w:p>
      <w:pPr>
        <w:pStyle w:val="6"/>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28359013"/>
      <w:bookmarkStart w:id="1" w:name="_Toc35393630"/>
      <w:bookmarkStart w:id="2" w:name="_Toc35393799"/>
      <w:bookmarkStart w:id="3" w:name="_Toc28359090"/>
      <w:r>
        <w:rPr>
          <w:rFonts w:hint="eastAsia" w:asciiTheme="minorEastAsia" w:hAnsiTheme="minorEastAsia"/>
          <w:b/>
          <w:sz w:val="28"/>
          <w:szCs w:val="28"/>
        </w:rPr>
        <w:t>申请人的资格要求：</w:t>
      </w:r>
      <w:bookmarkEnd w:id="0"/>
      <w:bookmarkEnd w:id="1"/>
      <w:bookmarkEnd w:id="2"/>
      <w:bookmarkEnd w:id="3"/>
    </w:p>
    <w:p>
      <w:pPr>
        <w:pStyle w:val="20"/>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0"/>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20"/>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6"/>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6"/>
        <w:numPr>
          <w:ilvl w:val="0"/>
          <w:numId w:val="6"/>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04</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27</w:t>
      </w:r>
      <w:r>
        <w:rPr>
          <w:rFonts w:hint="eastAsia" w:cs="Arial" w:asciiTheme="minorEastAsia" w:hAnsiTheme="minorEastAsia"/>
          <w:b/>
          <w:sz w:val="24"/>
          <w:highlight w:val="yellow"/>
        </w:rPr>
        <w:t>日12:00；</w:t>
      </w:r>
    </w:p>
    <w:p>
      <w:pPr>
        <w:pStyle w:val="6"/>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w:t>
      </w:r>
      <w:r>
        <w:rPr>
          <w:rFonts w:hint="eastAsia" w:cs="宋体" w:asciiTheme="minorEastAsia" w:hAnsiTheme="minorEastAsia"/>
          <w:sz w:val="24"/>
          <w:lang w:val="en-US" w:eastAsia="zh-CN"/>
        </w:rPr>
        <w:t>13:30</w:t>
      </w:r>
      <w:r>
        <w:rPr>
          <w:rFonts w:hint="eastAsia" w:cs="宋体" w:asciiTheme="minorEastAsia" w:hAnsiTheme="minorEastAsia"/>
          <w:sz w:val="24"/>
        </w:rPr>
        <w:t xml:space="preserve">-17:00） </w:t>
      </w:r>
    </w:p>
    <w:p>
      <w:pPr>
        <w:pStyle w:val="6"/>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35393631"/>
      <w:bookmarkStart w:id="6" w:name="_Toc28359014"/>
      <w:bookmarkStart w:id="7" w:name="_Toc35393800"/>
      <w:bookmarkStart w:id="8" w:name="_Toc28359091"/>
      <w:r>
        <w:rPr>
          <w:rFonts w:hint="eastAsia" w:asciiTheme="minorEastAsia" w:hAnsiTheme="minorEastAsia"/>
          <w:b/>
          <w:sz w:val="28"/>
          <w:szCs w:val="28"/>
        </w:rPr>
        <w:t>获取采购文件</w:t>
      </w:r>
      <w:bookmarkEnd w:id="5"/>
      <w:bookmarkEnd w:id="6"/>
      <w:bookmarkEnd w:id="7"/>
      <w:bookmarkEnd w:id="8"/>
    </w:p>
    <w:p>
      <w:pPr>
        <w:pStyle w:val="20"/>
        <w:numPr>
          <w:ilvl w:val="0"/>
          <w:numId w:val="8"/>
        </w:numPr>
        <w:tabs>
          <w:tab w:val="left" w:pos="284"/>
          <w:tab w:val="left" w:pos="400"/>
        </w:tabs>
        <w:suppressAutoHyphens/>
        <w:spacing w:line="360" w:lineRule="auto"/>
        <w:ind w:firstLineChars="0"/>
        <w:rPr>
          <w:rFonts w:asciiTheme="minorEastAsia" w:hAnsiTheme="minorEastAsia"/>
        </w:rPr>
      </w:pPr>
      <w:bookmarkStart w:id="9" w:name="_Toc35393632"/>
      <w:bookmarkStart w:id="10" w:name="_Toc35393801"/>
      <w:bookmarkStart w:id="11" w:name="_Toc28359015"/>
      <w:bookmarkStart w:id="12" w:name="_Toc28359092"/>
      <w:r>
        <w:rPr>
          <w:rFonts w:hint="eastAsia" w:asciiTheme="minorEastAsia" w:hAnsiTheme="minorEastAsia"/>
          <w:lang w:eastAsia="zh-CN"/>
        </w:rPr>
        <w:t>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04</w:t>
      </w:r>
      <w:r>
        <w:rPr>
          <w:rFonts w:hint="eastAsia" w:asciiTheme="minorEastAsia" w:hAnsiTheme="minorEastAsia"/>
          <w:lang w:eastAsia="zh-CN"/>
        </w:rPr>
        <w:t>月</w:t>
      </w:r>
      <w:r>
        <w:rPr>
          <w:rFonts w:hint="eastAsia" w:asciiTheme="minorEastAsia" w:hAnsiTheme="minorEastAsia"/>
          <w:lang w:val="en-US" w:eastAsia="zh-CN"/>
        </w:rPr>
        <w:t>21</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04</w:t>
      </w:r>
      <w:r>
        <w:rPr>
          <w:rFonts w:hint="eastAsia" w:asciiTheme="minorEastAsia" w:hAnsiTheme="minorEastAsia"/>
          <w:lang w:eastAsia="zh-CN"/>
        </w:rPr>
        <w:t>月</w:t>
      </w:r>
      <w:r>
        <w:rPr>
          <w:rFonts w:hint="eastAsia" w:asciiTheme="minorEastAsia" w:hAnsiTheme="minorEastAsia"/>
          <w:lang w:val="en-US" w:eastAsia="zh-CN"/>
        </w:rPr>
        <w:t>28</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20"/>
        <w:numPr>
          <w:ilvl w:val="0"/>
          <w:numId w:val="8"/>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0"/>
        <w:numPr>
          <w:ilvl w:val="0"/>
          <w:numId w:val="8"/>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05"/>
      <w:bookmarkStart w:id="14" w:name="_Toc28359082"/>
      <w:bookmarkStart w:id="15" w:name="_Toc35393624"/>
      <w:bookmarkStart w:id="16" w:name="_Toc35393793"/>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提交投标文件截止时间：2023年04月28日 14:00（北京时间），逾期作自动放弃处理。</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开标时间：2023年04月28日 14:00（北京时间）</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28359017"/>
      <w:bookmarkStart w:id="18" w:name="_Toc28359094"/>
      <w:bookmarkStart w:id="19" w:name="_Toc35393803"/>
      <w:bookmarkStart w:id="20" w:name="_Toc3539363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635"/>
      <w:bookmarkStart w:id="22" w:name="_Toc35393804"/>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28359095"/>
      <w:bookmarkStart w:id="24" w:name="_Toc35393636"/>
      <w:bookmarkStart w:id="25" w:name="_Toc28359018"/>
      <w:bookmarkStart w:id="26" w:name="_Toc3539380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96"/>
      <w:bookmarkStart w:id="28" w:name="_Toc28359019"/>
      <w:bookmarkStart w:id="29" w:name="_Toc35393637"/>
      <w:bookmarkStart w:id="30" w:name="_Toc35393806"/>
    </w:p>
    <w:bookmarkEnd w:id="27"/>
    <w:bookmarkEnd w:id="28"/>
    <w:bookmarkEnd w:id="29"/>
    <w:bookmarkEnd w:id="30"/>
    <w:p>
      <w:pPr>
        <w:pStyle w:val="20"/>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0"/>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20"/>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2"/>
        <w:tblW w:w="9751" w:type="dxa"/>
        <w:jc w:val="center"/>
        <w:tblLayout w:type="fixed"/>
        <w:tblCellMar>
          <w:top w:w="0" w:type="dxa"/>
          <w:left w:w="0" w:type="dxa"/>
          <w:bottom w:w="0" w:type="dxa"/>
          <w:right w:w="0" w:type="dxa"/>
        </w:tblCellMar>
      </w:tblPr>
      <w:tblGrid>
        <w:gridCol w:w="654"/>
        <w:gridCol w:w="1788"/>
        <w:gridCol w:w="7309"/>
      </w:tblGrid>
      <w:tr>
        <w:tblPrEx>
          <w:tblCellMar>
            <w:top w:w="0" w:type="dxa"/>
            <w:left w:w="0" w:type="dxa"/>
            <w:bottom w:w="0" w:type="dxa"/>
            <w:right w:w="0" w:type="dxa"/>
          </w:tblCellMar>
        </w:tblPrEx>
        <w:trPr>
          <w:trHeight w:val="47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要    求</w:t>
            </w:r>
          </w:p>
        </w:tc>
      </w:tr>
      <w:tr>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嘉兴市第一医院</w:t>
            </w:r>
            <w:r>
              <w:rPr>
                <w:rFonts w:hint="eastAsia" w:asciiTheme="minorEastAsia" w:hAnsiTheme="minorEastAsia" w:eastAsiaTheme="minorEastAsia" w:cstheme="minorEastAsia"/>
                <w:kern w:val="2"/>
                <w:sz w:val="24"/>
                <w:szCs w:val="24"/>
                <w:lang w:eastAsia="zh-CN"/>
              </w:rPr>
              <w:t>网络运维维保</w:t>
            </w:r>
            <w:r>
              <w:rPr>
                <w:rFonts w:hint="eastAsia" w:asciiTheme="minorEastAsia" w:hAnsiTheme="minorEastAsia" w:eastAsiaTheme="minorEastAsia" w:cstheme="minorEastAsia"/>
                <w:kern w:val="2"/>
                <w:sz w:val="24"/>
                <w:szCs w:val="24"/>
              </w:rPr>
              <w:t>服务项目</w:t>
            </w:r>
          </w:p>
        </w:tc>
      </w:tr>
      <w:tr>
        <w:tblPrEx>
          <w:tblCellMar>
            <w:top w:w="0" w:type="dxa"/>
            <w:left w:w="0" w:type="dxa"/>
            <w:bottom w:w="0" w:type="dxa"/>
            <w:right w:w="0" w:type="dxa"/>
          </w:tblCellMar>
        </w:tblPrEx>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招标人发出招标文件澄清或者修改的截止时间和方式</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2023年0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lang w:eastAsia="zh-CN"/>
              </w:rPr>
              <w:t>日 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w:t>
            </w:r>
          </w:p>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投标人确认收到澄清或者修改的时间和方式</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投标文件组成：投标文件由</w:t>
            </w:r>
            <w:r>
              <w:rPr>
                <w:rFonts w:hint="eastAsia" w:asciiTheme="minorEastAsia" w:hAnsiTheme="minorEastAsia" w:eastAsiaTheme="minorEastAsia" w:cstheme="minorEastAsia"/>
                <w:sz w:val="24"/>
                <w:szCs w:val="24"/>
              </w:rPr>
              <w:t>资信商务及技术文件、投标报价文件两部分</w:t>
            </w:r>
            <w:r>
              <w:rPr>
                <w:rFonts w:hint="eastAsia" w:asciiTheme="minorEastAsia" w:hAnsiTheme="minorEastAsia" w:eastAsiaTheme="minorEastAsia" w:cstheme="minorEastAsia"/>
                <w:sz w:val="24"/>
                <w:szCs w:val="24"/>
                <w:lang w:eastAsia="zh-TW"/>
              </w:rPr>
              <w:t>组成（其中：资信商务</w:t>
            </w:r>
            <w:r>
              <w:rPr>
                <w:rFonts w:hint="eastAsia" w:asciiTheme="minorEastAsia" w:hAnsiTheme="minorEastAsia" w:eastAsiaTheme="minorEastAsia" w:cstheme="minorEastAsia"/>
                <w:sz w:val="24"/>
                <w:szCs w:val="24"/>
              </w:rPr>
              <w:t>及</w:t>
            </w:r>
            <w:r>
              <w:rPr>
                <w:rFonts w:hint="eastAsia" w:asciiTheme="minorEastAsia" w:hAnsiTheme="minorEastAsia" w:eastAsiaTheme="minorEastAsia" w:cstheme="minorEastAsia"/>
                <w:sz w:val="24"/>
                <w:szCs w:val="24"/>
                <w:lang w:eastAsia="zh-TW"/>
              </w:rPr>
              <w:t>技术文件正本</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TW"/>
              </w:rPr>
              <w:t>份，副本</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份；报价文件正本</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TW"/>
              </w:rPr>
              <w:t>份，副本</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份，单独密封）。</w:t>
            </w:r>
          </w:p>
        </w:tc>
      </w:tr>
      <w:tr>
        <w:tblPrEx>
          <w:tblCellMar>
            <w:top w:w="0" w:type="dxa"/>
            <w:left w:w="0" w:type="dxa"/>
            <w:bottom w:w="0" w:type="dxa"/>
            <w:right w:w="0" w:type="dxa"/>
          </w:tblCellMar>
        </w:tblPrEx>
        <w:trPr>
          <w:trHeight w:val="878"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中标结果公告</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评标结束后</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TW"/>
              </w:rPr>
              <w:t>个工作日内在</w:t>
            </w:r>
            <w:r>
              <w:rPr>
                <w:rFonts w:hint="eastAsia" w:asciiTheme="minorEastAsia" w:hAnsiTheme="minorEastAsia" w:eastAsiaTheme="minorEastAsia" w:cstheme="minorEastAsia"/>
                <w:sz w:val="24"/>
                <w:szCs w:val="24"/>
              </w:rPr>
              <w:t>嘉兴市第一医院外网（http://www.jxdyyy.com）公告</w:t>
            </w:r>
            <w:r>
              <w:rPr>
                <w:rFonts w:hint="eastAsia" w:asciiTheme="minorEastAsia" w:hAnsiTheme="minorEastAsia" w:eastAsiaTheme="minorEastAsia" w:cstheme="minorEastAsia"/>
                <w:sz w:val="24"/>
                <w:szCs w:val="24"/>
                <w:lang w:eastAsia="zh-TW"/>
              </w:rPr>
              <w:t>，公告期为</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个工作日。</w:t>
            </w:r>
          </w:p>
        </w:tc>
      </w:tr>
      <w:tr>
        <w:tblPrEx>
          <w:tblCellMar>
            <w:top w:w="0" w:type="dxa"/>
            <w:left w:w="0" w:type="dxa"/>
            <w:bottom w:w="0" w:type="dxa"/>
            <w:right w:w="0" w:type="dxa"/>
          </w:tblCellMar>
        </w:tblPrEx>
        <w:trPr>
          <w:trHeight w:val="227"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投标截止时间与投标文件递交地点</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TW"/>
              </w:rPr>
              <w:t>投标截止日期和时间：</w:t>
            </w:r>
            <w:r>
              <w:rPr>
                <w:rFonts w:hint="eastAsia" w:asciiTheme="minorEastAsia" w:hAnsiTheme="minorEastAsia" w:eastAsiaTheme="minorEastAsia" w:cstheme="minorEastAsia"/>
                <w:kern w:val="2"/>
                <w:sz w:val="24"/>
                <w:szCs w:val="24"/>
                <w:lang w:eastAsia="zh-CN"/>
              </w:rPr>
              <w:t>2023年04月28日 14:00</w:t>
            </w:r>
          </w:p>
          <w:p>
            <w:pPr>
              <w:tabs>
                <w:tab w:val="left" w:pos="284"/>
                <w:tab w:val="left" w:pos="993"/>
              </w:tabs>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开标时间与地点</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b/>
                <w:sz w:val="24"/>
                <w:szCs w:val="24"/>
                <w:lang w:eastAsia="zh-TW"/>
              </w:rPr>
              <w:t>：</w:t>
            </w:r>
            <w:r>
              <w:rPr>
                <w:rFonts w:hint="eastAsia" w:asciiTheme="minorEastAsia" w:hAnsiTheme="minorEastAsia" w:eastAsiaTheme="minorEastAsia" w:cstheme="minorEastAsia"/>
                <w:b/>
                <w:sz w:val="24"/>
                <w:szCs w:val="24"/>
                <w:lang w:eastAsia="zh-CN"/>
              </w:rPr>
              <w:t>2023年04月28日 14:00</w:t>
            </w:r>
          </w:p>
          <w:p>
            <w:pPr>
              <w:tabs>
                <w:tab w:val="left" w:pos="284"/>
                <w:tab w:val="left" w:pos="993"/>
              </w:tabs>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中标候选人推荐原则</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评标委员会依据综合打分结果进行排序</w:t>
            </w:r>
            <w:r>
              <w:rPr>
                <w:rFonts w:hint="eastAsia" w:asciiTheme="minorEastAsia" w:hAnsiTheme="minorEastAsia" w:eastAsiaTheme="minorEastAsia" w:cstheme="minorEastAsia"/>
                <w:sz w:val="24"/>
                <w:szCs w:val="24"/>
              </w:rPr>
              <w:t>；</w:t>
            </w:r>
          </w:p>
          <w:p>
            <w:pPr>
              <w:pStyle w:val="15"/>
              <w:widowControl w:val="0"/>
              <w:snapToGrid/>
              <w:spacing w:line="360" w:lineRule="auto"/>
              <w:ind w:firstLine="0"/>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中标人确定</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招标人根据评标委员会推荐的中标候选人确定综合得分由高到低排名，中标人数量：</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TW"/>
              </w:rPr>
              <w:t>。</w:t>
            </w:r>
          </w:p>
        </w:tc>
      </w:tr>
      <w:tr>
        <w:tblPrEx>
          <w:tblCellMar>
            <w:top w:w="0" w:type="dxa"/>
            <w:left w:w="0" w:type="dxa"/>
            <w:bottom w:w="0" w:type="dxa"/>
            <w:right w:w="0" w:type="dxa"/>
          </w:tblCellMar>
        </w:tblPrEx>
        <w:trPr>
          <w:trHeight w:val="575"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合同签订时间</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成交结果公示期结束后30日内</w:t>
            </w:r>
            <w:r>
              <w:rPr>
                <w:rFonts w:hint="eastAsia" w:asciiTheme="minorEastAsia" w:hAnsiTheme="minorEastAsia" w:eastAsiaTheme="minorEastAsia" w:cstheme="minorEastAsia"/>
                <w:sz w:val="24"/>
                <w:szCs w:val="24"/>
              </w:rPr>
              <w:t>。</w:t>
            </w:r>
          </w:p>
        </w:tc>
      </w:tr>
      <w:tr>
        <w:tblPrEx>
          <w:tblCellMar>
            <w:top w:w="0" w:type="dxa"/>
            <w:left w:w="0" w:type="dxa"/>
            <w:bottom w:w="0" w:type="dxa"/>
            <w:right w:w="0" w:type="dxa"/>
          </w:tblCellMar>
        </w:tblPrEx>
        <w:trPr>
          <w:trHeight w:val="23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CellMar>
            <w:top w:w="0" w:type="dxa"/>
            <w:left w:w="0" w:type="dxa"/>
            <w:bottom w:w="0" w:type="dxa"/>
            <w:right w:w="0" w:type="dxa"/>
          </w:tblCellMar>
        </w:tblPrEx>
        <w:trPr>
          <w:trHeight w:val="336"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按招标人要求。</w:t>
            </w: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5"/>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TW"/>
              </w:rPr>
              <w:t>维保费用按合同签订</w:t>
            </w:r>
            <w:r>
              <w:rPr>
                <w:rFonts w:hint="eastAsia" w:asciiTheme="minorEastAsia" w:hAnsiTheme="minorEastAsia" w:eastAsiaTheme="minorEastAsia" w:cstheme="minorEastAsia"/>
                <w:color w:val="000000"/>
                <w:sz w:val="24"/>
                <w:szCs w:val="24"/>
                <w:lang w:val="en-US" w:eastAsia="zh-CN"/>
              </w:rPr>
              <w:t>完成后</w:t>
            </w:r>
            <w:r>
              <w:rPr>
                <w:rFonts w:hint="eastAsia" w:asciiTheme="minorEastAsia" w:hAnsiTheme="minorEastAsia" w:eastAsiaTheme="minorEastAsia" w:cstheme="minorEastAsia"/>
                <w:color w:val="000000"/>
                <w:sz w:val="24"/>
                <w:szCs w:val="24"/>
                <w:lang w:eastAsia="zh-TW"/>
              </w:rPr>
              <w:t>，</w:t>
            </w:r>
            <w:r>
              <w:rPr>
                <w:rFonts w:hint="eastAsia" w:asciiTheme="minorEastAsia" w:hAnsiTheme="minorEastAsia" w:eastAsiaTheme="minorEastAsia" w:cstheme="minorEastAsia"/>
                <w:color w:val="000000"/>
                <w:sz w:val="24"/>
                <w:szCs w:val="24"/>
                <w:lang w:val="en-US" w:eastAsia="zh-CN"/>
              </w:rPr>
              <w:t>服务期每满6个月且</w:t>
            </w:r>
            <w:r>
              <w:rPr>
                <w:rFonts w:hint="eastAsia" w:asciiTheme="minorEastAsia" w:hAnsiTheme="minorEastAsia" w:eastAsiaTheme="minorEastAsia" w:cstheme="minorEastAsia"/>
                <w:sz w:val="24"/>
                <w:szCs w:val="24"/>
              </w:rPr>
              <w:t>无售后服务问题</w:t>
            </w:r>
            <w:r>
              <w:rPr>
                <w:rFonts w:hint="eastAsia" w:asciiTheme="minorEastAsia" w:hAnsiTheme="minorEastAsia" w:eastAsiaTheme="minorEastAsia" w:cstheme="minorEastAsia"/>
                <w:color w:val="000000"/>
                <w:sz w:val="24"/>
                <w:szCs w:val="24"/>
                <w:lang w:eastAsia="zh-TW"/>
              </w:rPr>
              <w:t>支付合同</w:t>
            </w:r>
            <w:r>
              <w:rPr>
                <w:rFonts w:hint="eastAsia" w:asciiTheme="minorEastAsia" w:hAnsiTheme="minorEastAsia" w:eastAsiaTheme="minorEastAsia" w:cstheme="minorEastAsia"/>
                <w:color w:val="000000"/>
                <w:sz w:val="24"/>
                <w:szCs w:val="24"/>
                <w:lang w:val="en-US" w:eastAsia="zh-CN"/>
              </w:rPr>
              <w:t>总价的25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lang w:eastAsia="zh-TW"/>
              </w:rPr>
              <w:t>。</w:t>
            </w:r>
          </w:p>
        </w:tc>
      </w:tr>
      <w:tr>
        <w:tblPrEx>
          <w:tblCellMar>
            <w:top w:w="0" w:type="dxa"/>
            <w:left w:w="0" w:type="dxa"/>
            <w:bottom w:w="0" w:type="dxa"/>
            <w:right w:w="0" w:type="dxa"/>
          </w:tblCellMar>
        </w:tblPrEx>
        <w:trPr>
          <w:trHeight w:val="68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投标文件有效期</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90天</w:t>
            </w:r>
          </w:p>
        </w:tc>
      </w:tr>
      <w:tr>
        <w:tblPrEx>
          <w:tblCellMar>
            <w:top w:w="0" w:type="dxa"/>
            <w:left w:w="0" w:type="dxa"/>
            <w:bottom w:w="0" w:type="dxa"/>
            <w:right w:w="0" w:type="dxa"/>
          </w:tblCellMar>
        </w:tblPrEx>
        <w:trPr>
          <w:trHeight w:val="115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投标</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本项目采用不见面开标方式。</w:t>
            </w:r>
            <w:r>
              <w:rPr>
                <w:rFonts w:hint="eastAsia" w:asciiTheme="minorEastAsia" w:hAnsiTheme="minorEastAsia" w:eastAsiaTheme="minorEastAsia" w:cstheme="minorEastAsia"/>
                <w:sz w:val="24"/>
                <w:szCs w:val="24"/>
              </w:rPr>
              <w:t>请各投标人务必在开标当日</w:t>
            </w:r>
            <w:r>
              <w:rPr>
                <w:rFonts w:hint="eastAsia" w:asciiTheme="minorEastAsia" w:hAnsiTheme="minorEastAsia" w:eastAsiaTheme="minorEastAsia" w:cstheme="minorEastAsia"/>
                <w:kern w:val="2"/>
                <w:sz w:val="24"/>
                <w:szCs w:val="24"/>
                <w:lang w:val="en-US" w:eastAsia="zh-CN"/>
              </w:rPr>
              <w:t>14:00</w:t>
            </w:r>
            <w:r>
              <w:rPr>
                <w:rFonts w:hint="eastAsia" w:asciiTheme="minorEastAsia" w:hAnsiTheme="minorEastAsia" w:eastAsiaTheme="minorEastAsia" w:cstheme="minorEastAsia"/>
                <w:sz w:val="24"/>
                <w:szCs w:val="24"/>
              </w:rPr>
              <w:t>前将投标文件送达至指定地点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rPr>
              <w:t>请采用快递方式邮寄至浙江省嘉兴市中环南路 1882 号嘉兴市第一医院六号楼四楼招标采购中心</w:t>
            </w:r>
            <w:r>
              <w:rPr>
                <w:rFonts w:hint="eastAsia" w:asciiTheme="minorEastAsia" w:hAnsiTheme="minorEastAsia" w:eastAsiaTheme="minorEastAsia" w:cstheme="minorEastAsia"/>
                <w:sz w:val="24"/>
                <w:szCs w:val="24"/>
              </w:rPr>
              <w:t>（接收人喻老师，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1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解释权</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eastAsia="zh-TW"/>
              </w:rPr>
              <w:t>本招标文件的解释权属于招标</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TW"/>
              </w:rPr>
              <w:t>。</w:t>
            </w:r>
          </w:p>
        </w:tc>
      </w:tr>
    </w:tbl>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0"/>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0"/>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0"/>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0"/>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0"/>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0"/>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0"/>
        <w:numPr>
          <w:ilvl w:val="0"/>
          <w:numId w:val="12"/>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0"/>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0"/>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0"/>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20"/>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20"/>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0"/>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0"/>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0"/>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0"/>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0"/>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0"/>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0"/>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本项目不要求投标人(法定代表人或授权委托人)至开标现场参加开标活动。投标人应根据招标文件前附表要求，在规定的时间内将投标文件</w:t>
      </w:r>
      <w:r>
        <w:rPr>
          <w:rFonts w:hint="eastAsia" w:asciiTheme="minorEastAsia" w:hAnsiTheme="minorEastAsia" w:eastAsiaTheme="minorEastAsia"/>
          <w:b/>
          <w:sz w:val="24"/>
          <w:highlight w:val="yellow"/>
          <w:u w:val="single"/>
        </w:rPr>
        <w:t>采用邮寄快递的方式，于开标当日</w:t>
      </w:r>
      <w:r>
        <w:rPr>
          <w:rFonts w:hint="eastAsia" w:asciiTheme="minorEastAsia" w:hAnsiTheme="minorEastAsia" w:eastAsiaTheme="minorEastAsia"/>
          <w:b/>
          <w:sz w:val="24"/>
          <w:highlight w:val="yellow"/>
          <w:u w:val="single"/>
          <w:lang w:val="en-US" w:eastAsia="zh-CN"/>
        </w:rPr>
        <w:t>14:00</w:t>
      </w:r>
      <w:r>
        <w:rPr>
          <w:rFonts w:hint="eastAsia" w:asciiTheme="minorEastAsia" w:hAnsiTheme="minorEastAsia" w:eastAsiaTheme="minorEastAsia"/>
          <w:b/>
          <w:sz w:val="24"/>
          <w:highlight w:val="yellow"/>
          <w:u w:val="single"/>
        </w:rPr>
        <w:t>之前邮寄至浙江省嘉兴市中环南路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，联系人：喻老师，联系电话：0573-82221162。所有未寄达上述指定地点的投标文件，视作投标人主动放弃。</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0"/>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20"/>
        <w:numPr>
          <w:ilvl w:val="0"/>
          <w:numId w:val="23"/>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0"/>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0"/>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15"/>
        <w:ind w:firstLine="480" w:firstLineChars="200"/>
        <w:rPr>
          <w:rFonts w:asciiTheme="minorEastAsia" w:hAnsiTheme="minorEastAsia" w:eastAsiaTheme="minorEastAsia"/>
          <w:b/>
          <w:sz w:val="36"/>
        </w:rPr>
      </w:pPr>
      <w:r>
        <w:rPr>
          <w:rFonts w:hint="eastAsia" w:asciiTheme="minorEastAsia" w:hAnsiTheme="minorEastAsia" w:eastAsiaTheme="minorEastAsia" w:cstheme="minorEastAsia"/>
          <w:color w:val="000000"/>
          <w:sz w:val="24"/>
          <w:szCs w:val="24"/>
          <w:lang w:eastAsia="zh-TW"/>
        </w:rPr>
        <w:t>维保费用按合同签订</w:t>
      </w:r>
      <w:r>
        <w:rPr>
          <w:rFonts w:hint="eastAsia" w:asciiTheme="minorEastAsia" w:hAnsiTheme="minorEastAsia" w:eastAsiaTheme="minorEastAsia" w:cstheme="minorEastAsia"/>
          <w:color w:val="000000"/>
          <w:sz w:val="24"/>
          <w:szCs w:val="24"/>
          <w:lang w:val="en-US" w:eastAsia="zh-CN"/>
        </w:rPr>
        <w:t>完成后</w:t>
      </w:r>
      <w:r>
        <w:rPr>
          <w:rFonts w:hint="eastAsia" w:asciiTheme="minorEastAsia" w:hAnsiTheme="minorEastAsia" w:eastAsiaTheme="minorEastAsia" w:cstheme="minorEastAsia"/>
          <w:color w:val="000000"/>
          <w:sz w:val="24"/>
          <w:szCs w:val="24"/>
          <w:lang w:eastAsia="zh-TW"/>
        </w:rPr>
        <w:t>，</w:t>
      </w:r>
      <w:r>
        <w:rPr>
          <w:rFonts w:hint="eastAsia" w:asciiTheme="minorEastAsia" w:hAnsiTheme="minorEastAsia" w:eastAsiaTheme="minorEastAsia" w:cstheme="minorEastAsia"/>
          <w:color w:val="000000"/>
          <w:sz w:val="24"/>
          <w:szCs w:val="24"/>
          <w:lang w:val="en-US" w:eastAsia="zh-CN"/>
        </w:rPr>
        <w:t>服务期每满6个月且</w:t>
      </w:r>
      <w:r>
        <w:rPr>
          <w:rFonts w:hint="eastAsia" w:asciiTheme="minorEastAsia" w:hAnsiTheme="minorEastAsia" w:eastAsiaTheme="minorEastAsia" w:cstheme="minorEastAsia"/>
          <w:sz w:val="24"/>
          <w:szCs w:val="24"/>
        </w:rPr>
        <w:t>无售后服务问题</w:t>
      </w:r>
      <w:r>
        <w:rPr>
          <w:rFonts w:hint="eastAsia" w:asciiTheme="minorEastAsia" w:hAnsiTheme="minorEastAsia" w:eastAsiaTheme="minorEastAsia" w:cstheme="minorEastAsia"/>
          <w:color w:val="000000"/>
          <w:sz w:val="24"/>
          <w:szCs w:val="24"/>
          <w:lang w:eastAsia="zh-TW"/>
        </w:rPr>
        <w:t>支付合同</w:t>
      </w:r>
      <w:r>
        <w:rPr>
          <w:rFonts w:hint="eastAsia" w:asciiTheme="minorEastAsia" w:hAnsiTheme="minorEastAsia" w:eastAsiaTheme="minorEastAsia" w:cstheme="minorEastAsia"/>
          <w:color w:val="000000"/>
          <w:sz w:val="24"/>
          <w:szCs w:val="24"/>
          <w:lang w:val="en-US" w:eastAsia="zh-CN"/>
        </w:rPr>
        <w:t>总价的25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lang w:eastAsia="zh-TW"/>
        </w:rPr>
        <w:t>。</w:t>
      </w: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bookmarkStart w:id="32" w:name="_GoBack"/>
      <w:bookmarkEnd w:id="32"/>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20"/>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20"/>
        <w:numPr>
          <w:ilvl w:val="0"/>
          <w:numId w:val="24"/>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20"/>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20"/>
        <w:numPr>
          <w:ilvl w:val="0"/>
          <w:numId w:val="25"/>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20"/>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20"/>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20"/>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numPr>
          <w:ilvl w:val="0"/>
          <w:numId w:val="25"/>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20"/>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91"/>
        <w:gridCol w:w="708"/>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序号</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评分项目</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分值</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lang w:eastAsia="zh-TW"/>
              </w:rPr>
            </w:pPr>
          </w:p>
          <w:p>
            <w:pPr>
              <w:tabs>
                <w:tab w:val="left" w:pos="284"/>
                <w:tab w:val="left" w:pos="993"/>
              </w:tabs>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1</w:t>
            </w:r>
          </w:p>
          <w:p>
            <w:pPr>
              <w:tabs>
                <w:tab w:val="left" w:pos="284"/>
                <w:tab w:val="left" w:pos="993"/>
              </w:tabs>
              <w:ind w:firstLine="120" w:firstLineChars="50"/>
              <w:jc w:val="center"/>
              <w:rPr>
                <w:rFonts w:asciiTheme="minorEastAsia" w:hAnsiTheme="minorEastAsia" w:eastAsiaTheme="minorEastAsia"/>
                <w:sz w:val="24"/>
                <w:szCs w:val="24"/>
                <w:lang w:eastAsia="zh-TW"/>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lang w:val="en-US" w:eastAsia="zh-CN"/>
              </w:rPr>
              <w:t>对采购文件需求的响应程度</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24</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left"/>
              <w:rPr>
                <w:rFonts w:asciiTheme="minorEastAsia" w:hAnsiTheme="minorEastAsia" w:eastAsiaTheme="minorEastAsia"/>
                <w:sz w:val="24"/>
                <w:szCs w:val="24"/>
                <w:lang w:eastAsia="zh-TW"/>
              </w:rPr>
            </w:pPr>
            <w:r>
              <w:rPr>
                <w:rFonts w:hint="eastAsia" w:asciiTheme="minorEastAsia" w:hAnsiTheme="minorEastAsia" w:eastAsiaTheme="minorEastAsia" w:cstheme="minorEastAsia"/>
                <w:sz w:val="24"/>
                <w:szCs w:val="24"/>
                <w:lang w:val="en-US" w:eastAsia="zh-CN"/>
              </w:rPr>
              <w:t>完全满足或优于采购文件中第四点招标需求中服务要求的得24分；不满足或者低于采购文件要求的，每项扣4分，扣完为止。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2</w:t>
            </w: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投标人业绩</w:t>
            </w:r>
          </w:p>
          <w:p>
            <w:pPr>
              <w:tabs>
                <w:tab w:val="left" w:pos="284"/>
                <w:tab w:val="left" w:pos="993"/>
              </w:tabs>
              <w:rPr>
                <w:rFonts w:asciiTheme="minorEastAsia" w:hAnsiTheme="minorEastAsia" w:eastAsiaTheme="minorEastAsia"/>
                <w:sz w:val="24"/>
                <w:szCs w:val="24"/>
                <w:lang w:eastAsia="zh-TW"/>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投标人202</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年1月1日至今（以签订合同时间为准）承担类似服务项目的情况，每提供1个合同复印件的1分，最多得5分。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tcBorders>
              <w:left w:val="single" w:color="auto" w:sz="4" w:space="0"/>
              <w:right w:val="single" w:color="auto" w:sz="4" w:space="0"/>
            </w:tcBorders>
          </w:tcPr>
          <w:p>
            <w:pPr>
              <w:pStyle w:val="15"/>
              <w:spacing w:line="240" w:lineRule="auto"/>
              <w:ind w:left="0" w:leftChars="0" w:firstLine="0" w:firstLineChars="0"/>
              <w:jc w:val="center"/>
              <w:rPr>
                <w:rFonts w:hint="eastAsia" w:asciiTheme="minorEastAsia" w:hAnsiTheme="minorEastAsia" w:eastAsiaTheme="minorEastAsia"/>
                <w:szCs w:val="24"/>
                <w:lang w:val="en-US" w:eastAsia="zh-CN"/>
              </w:rPr>
            </w:pPr>
          </w:p>
          <w:p>
            <w:pPr>
              <w:pStyle w:val="15"/>
              <w:spacing w:line="240" w:lineRule="auto"/>
              <w:ind w:left="0" w:leftChars="0" w:firstLine="0" w:firstLineChars="0"/>
              <w:jc w:val="center"/>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3</w:t>
            </w:r>
          </w:p>
        </w:tc>
        <w:tc>
          <w:tcPr>
            <w:tcW w:w="1491" w:type="dxa"/>
            <w:tcBorders>
              <w:left w:val="single" w:color="auto" w:sz="4" w:space="0"/>
              <w:right w:val="single" w:color="auto" w:sz="4" w:space="0"/>
            </w:tcBorders>
            <w:vAlign w:val="center"/>
          </w:tcPr>
          <w:p>
            <w:pPr>
              <w:widowControl/>
              <w:spacing w:beforeLines="50" w:afterLines="5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应急预案处理机制</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对投标人提供的应急方案进行评价，其中:</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 响应人提供的应急事件处理预案完整、具体，能完全满足招标文件要求的得 10分；</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 响应人提供的应急事件处理预案不够完整、具体，只能基本满足招标文件要求的得7分；</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 响应人提供的应急事件处理预案不够完整、具体，只能部分满足招标文件要求的得3分；</w:t>
            </w:r>
          </w:p>
          <w:p>
            <w:pP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 未提供应急事件处理预案的得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97" w:type="dxa"/>
            <w:tcBorders>
              <w:top w:val="single" w:color="auto" w:sz="4" w:space="0"/>
              <w:left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rPr>
            </w:pPr>
          </w:p>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491" w:type="dxa"/>
            <w:tcBorders>
              <w:top w:val="single" w:color="auto" w:sz="4" w:space="0"/>
              <w:left w:val="single" w:color="auto" w:sz="4" w:space="0"/>
              <w:right w:val="single" w:color="auto" w:sz="4" w:space="0"/>
            </w:tcBorders>
            <w:vAlign w:val="center"/>
          </w:tcPr>
          <w:p>
            <w:pPr>
              <w:widowControl/>
              <w:spacing w:beforeLines="50" w:afterLines="5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保障措施及服务质量承诺</w:t>
            </w:r>
          </w:p>
          <w:p>
            <w:pPr>
              <w:widowControl/>
              <w:spacing w:beforeLines="50" w:afterLines="50"/>
              <w:jc w:val="left"/>
              <w:rPr>
                <w:rFonts w:asciiTheme="minorEastAsia" w:hAnsiTheme="minorEastAsia" w:eastAsiaTheme="minorEastAsia"/>
                <w:sz w:val="24"/>
                <w:szCs w:val="24"/>
                <w:lang w:eastAsia="zh-TW"/>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投标人应针对本项目提供项目实施保障措施及服务质量，方案应至少包括：</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（1）实施保障措施和服务质量承诺有针对性；</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（2）切实考虑项目实施实际情况；</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（3）提出解决方案；</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（4）措施完善可行、具体合理。</w:t>
            </w:r>
          </w:p>
          <w:p>
            <w:pP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每提供1项内容且表述完整、科学、可行的得2分，最高得5分。未提供服务方案不得分。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797" w:type="dxa"/>
            <w:vMerge w:val="restart"/>
            <w:tcBorders>
              <w:left w:val="single" w:color="auto" w:sz="4" w:space="0"/>
              <w:right w:val="single" w:color="auto" w:sz="4" w:space="0"/>
            </w:tcBorders>
          </w:tcPr>
          <w:p>
            <w:pPr>
              <w:pStyle w:val="15"/>
              <w:spacing w:line="240" w:lineRule="auto"/>
              <w:ind w:firstLine="480"/>
              <w:jc w:val="center"/>
              <w:rPr>
                <w:rFonts w:asciiTheme="minorEastAsia" w:hAnsiTheme="minorEastAsia" w:eastAsiaTheme="minorEastAsia"/>
                <w:szCs w:val="24"/>
              </w:rPr>
            </w:pPr>
          </w:p>
          <w:p>
            <w:pPr>
              <w:tabs>
                <w:tab w:val="left" w:pos="284"/>
                <w:tab w:val="left" w:pos="993"/>
              </w:tabs>
              <w:jc w:val="center"/>
              <w:rPr>
                <w:rFonts w:asciiTheme="minorEastAsia" w:hAnsiTheme="minorEastAsia" w:eastAsiaTheme="minorEastAsia"/>
                <w:sz w:val="24"/>
                <w:szCs w:val="24"/>
              </w:rPr>
            </w:pPr>
          </w:p>
          <w:p>
            <w:pPr>
              <w:tabs>
                <w:tab w:val="left" w:pos="284"/>
                <w:tab w:val="left" w:pos="993"/>
              </w:tabs>
              <w:jc w:val="center"/>
              <w:rPr>
                <w:rFonts w:asciiTheme="minorEastAsia" w:hAnsiTheme="minorEastAsia" w:eastAsiaTheme="minorEastAsia"/>
                <w:sz w:val="24"/>
                <w:szCs w:val="24"/>
              </w:rPr>
            </w:pPr>
          </w:p>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491" w:type="dxa"/>
            <w:vMerge w:val="restart"/>
            <w:tcBorders>
              <w:left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hint="eastAsia" w:asciiTheme="minorEastAsia" w:hAnsiTheme="minorEastAsia" w:eastAsiaTheme="minorEastAsia"/>
                <w:color w:val="000000"/>
                <w:sz w:val="24"/>
                <w:szCs w:val="24"/>
              </w:rPr>
              <w:t>维护服务方案</w:t>
            </w:r>
          </w:p>
        </w:tc>
        <w:tc>
          <w:tcPr>
            <w:tcW w:w="708" w:type="dxa"/>
            <w:tcBorders>
              <w:left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10</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对投标人提供的服务方案进行评价，其中:</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（1）方案内容齐全，符合现场实际，运维服务内容具体，方案科学、先进、可行，得10分；</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（2）内容较齐全、比较符合现场实际，运维服务内容较为具体，方案较为科学、先进、可行，得6分；</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（3）内容有欠缺或表述的内容不完全符合现场实际，方案科学、先进、可行性更次者得3分；</w:t>
            </w:r>
          </w:p>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（4）内容欠缺较多，或表述的内容不符合现场实际，不可行或方案缺项0分。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9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olor w:val="000000"/>
                <w:sz w:val="24"/>
                <w:szCs w:val="24"/>
                <w:lang w:val="en-US" w:eastAsia="zh-CN"/>
              </w:rPr>
            </w:pPr>
          </w:p>
          <w:p>
            <w:pPr>
              <w:rPr>
                <w:rFonts w:hint="eastAsia" w:asciiTheme="minorEastAsia" w:hAnsiTheme="minorEastAsia" w:eastAsiaTheme="minorEastAsia"/>
                <w:color w:val="000000"/>
                <w:sz w:val="24"/>
                <w:szCs w:val="24"/>
                <w:lang w:val="en-US" w:eastAsia="zh-CN"/>
              </w:rPr>
            </w:pPr>
          </w:p>
          <w:p>
            <w:pPr>
              <w:jc w:val="center"/>
              <w:rPr>
                <w:rFonts w:hint="eastAsia" w:asciiTheme="minorEastAsia" w:hAnsiTheme="minorEastAsia" w:eastAsiaTheme="minorEastAsia"/>
                <w:color w:val="000000"/>
                <w:sz w:val="24"/>
                <w:szCs w:val="24"/>
                <w:lang w:val="en-US" w:eastAsia="zh-CN"/>
              </w:rPr>
            </w:pPr>
          </w:p>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6</w:t>
            </w:r>
          </w:p>
        </w:tc>
        <w:tc>
          <w:tcPr>
            <w:tcW w:w="149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000000"/>
                <w:sz w:val="24"/>
                <w:szCs w:val="24"/>
                <w:lang w:val="en-US" w:eastAsia="zh-TW"/>
              </w:rPr>
            </w:pPr>
            <w:r>
              <w:rPr>
                <w:rFonts w:hint="eastAsia" w:asciiTheme="minorEastAsia" w:hAnsiTheme="minorEastAsia" w:eastAsiaTheme="minorEastAsia"/>
                <w:color w:val="000000"/>
                <w:sz w:val="24"/>
                <w:szCs w:val="24"/>
                <w:lang w:val="en-US" w:eastAsia="zh-CN"/>
              </w:rPr>
              <w:t>投标人综合实力</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1.信息安全服务相关资质；</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2.环境管理体系认证证书；</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3.职业健康安全管理体系认证证书；</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4.质量管理体系认证证书</w:t>
            </w:r>
          </w:p>
          <w:p>
            <w:pP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上述证书每提供1项得2分，最高得8分。</w:t>
            </w:r>
          </w:p>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要求上述各项资质或证书均在有效期内，提供相关证书复印件并加盖投标人公章。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797" w:type="dxa"/>
            <w:tcBorders>
              <w:top w:val="single" w:color="auto" w:sz="4" w:space="0"/>
              <w:left w:val="single" w:color="auto" w:sz="4" w:space="0"/>
              <w:right w:val="single" w:color="auto" w:sz="4" w:space="0"/>
            </w:tcBorders>
          </w:tcPr>
          <w:p>
            <w:pPr>
              <w:jc w:val="center"/>
              <w:rPr>
                <w:rFonts w:hint="eastAsia" w:asciiTheme="minorEastAsia" w:hAnsiTheme="minorEastAsia" w:eastAsiaTheme="minorEastAsia"/>
                <w:color w:val="000000"/>
                <w:sz w:val="24"/>
                <w:szCs w:val="24"/>
                <w:lang w:val="en-US" w:eastAsia="zh-CN"/>
              </w:rPr>
            </w:pPr>
          </w:p>
          <w:p>
            <w:pPr>
              <w:jc w:val="center"/>
              <w:rPr>
                <w:rFonts w:hint="eastAsia" w:asciiTheme="minorEastAsia" w:hAnsiTheme="minorEastAsia" w:eastAsiaTheme="minorEastAsia"/>
                <w:color w:val="000000"/>
                <w:sz w:val="24"/>
                <w:szCs w:val="24"/>
                <w:lang w:val="en-US" w:eastAsia="zh-CN"/>
              </w:rPr>
            </w:pPr>
          </w:p>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w:t>
            </w:r>
          </w:p>
        </w:tc>
        <w:tc>
          <w:tcPr>
            <w:tcW w:w="1491" w:type="dxa"/>
            <w:tcBorders>
              <w:top w:val="single" w:color="auto" w:sz="4" w:space="0"/>
              <w:left w:val="single" w:color="auto" w:sz="4" w:space="0"/>
              <w:right w:val="single" w:color="auto" w:sz="4" w:space="0"/>
            </w:tcBorders>
            <w:vAlign w:val="center"/>
          </w:tcPr>
          <w:p>
            <w:pP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项目人员配备与人员管理方案</w:t>
            </w:r>
          </w:p>
        </w:tc>
        <w:tc>
          <w:tcPr>
            <w:tcW w:w="708" w:type="dxa"/>
            <w:tcBorders>
              <w:top w:val="single" w:color="auto" w:sz="4" w:space="0"/>
              <w:left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拟投入该项目人员组织架构设置与管路科学合理，符合本项目实际情况，针对性强得7-8分；组织架构设置较清晰，能够基本满足项目服务需求3-6分；组织架构不合理，管理方案不完善得0-2分。</w:t>
            </w:r>
          </w:p>
        </w:tc>
      </w:tr>
    </w:tbl>
    <w:p>
      <w:pPr>
        <w:pStyle w:val="15"/>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shd w:val="clear" w:color="auto" w:fill="FFFFFF"/>
        <w:spacing w:line="360" w:lineRule="auto"/>
        <w:ind w:firstLine="361" w:firstLineChars="150"/>
        <w:rPr>
          <w:sz w:val="24"/>
          <w:szCs w:val="24"/>
        </w:rPr>
      </w:pPr>
      <w:r>
        <w:rPr>
          <w:rFonts w:hint="eastAsia" w:asciiTheme="minorEastAsia" w:hAnsiTheme="minorEastAsia" w:eastAsiaTheme="minorEastAsia"/>
          <w:b/>
          <w:color w:val="000000"/>
          <w:sz w:val="24"/>
          <w:szCs w:val="24"/>
        </w:rPr>
        <w:t>1、招标内容</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sz w:val="24"/>
          <w:szCs w:val="24"/>
          <w:lang w:eastAsia="zh-CN"/>
        </w:rPr>
        <w:t>网络运维维保</w:t>
      </w:r>
      <w:r>
        <w:rPr>
          <w:rFonts w:hint="eastAsia" w:asciiTheme="minorEastAsia" w:hAnsiTheme="minorEastAsia" w:eastAsiaTheme="minorEastAsia"/>
          <w:b/>
          <w:sz w:val="24"/>
          <w:szCs w:val="24"/>
          <w:lang w:eastAsia="zh-TW"/>
        </w:rPr>
        <w:t>服务</w:t>
      </w:r>
    </w:p>
    <w:p>
      <w:pPr>
        <w:shd w:val="clear" w:color="auto" w:fill="FFFFFF"/>
        <w:spacing w:line="360" w:lineRule="auto"/>
        <w:ind w:firstLine="361" w:firstLineChars="15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2、</w:t>
      </w:r>
      <w:r>
        <w:rPr>
          <w:rFonts w:hint="eastAsia" w:asciiTheme="minorEastAsia" w:hAnsiTheme="minorEastAsia" w:eastAsiaTheme="minorEastAsia"/>
          <w:b/>
          <w:color w:val="000000"/>
          <w:sz w:val="24"/>
          <w:szCs w:val="24"/>
          <w:lang w:val="en-US" w:eastAsia="zh-CN"/>
        </w:rPr>
        <w:t>服务</w:t>
      </w:r>
      <w:r>
        <w:rPr>
          <w:rFonts w:hint="eastAsia" w:asciiTheme="minorEastAsia" w:hAnsiTheme="minorEastAsia" w:eastAsiaTheme="minorEastAsia"/>
          <w:b/>
          <w:color w:val="000000"/>
          <w:sz w:val="24"/>
          <w:szCs w:val="24"/>
        </w:rPr>
        <w:t>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645"/>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6645" w:type="dxa"/>
          </w:tcPr>
          <w:p>
            <w:pPr>
              <w:spacing w:line="360" w:lineRule="auto"/>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服务要求</w:t>
            </w:r>
          </w:p>
        </w:tc>
        <w:tc>
          <w:tcPr>
            <w:tcW w:w="1623" w:type="dxa"/>
          </w:tcPr>
          <w:p>
            <w:pPr>
              <w:spacing w:line="360" w:lineRule="auto"/>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64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7*24小时应急抢修服务（无限次）</w:t>
            </w:r>
          </w:p>
        </w:tc>
        <w:tc>
          <w:tcPr>
            <w:tcW w:w="1623"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64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7*24小时客户指定上门技术支持（无限次）</w:t>
            </w:r>
          </w:p>
        </w:tc>
        <w:tc>
          <w:tcPr>
            <w:tcW w:w="1623" w:type="dxa"/>
          </w:tcPr>
          <w:p>
            <w:pPr>
              <w:spacing w:line="36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664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巡检服务（包含甲方所有网络、安全设备硬件），每季度高级巡检服务一次并出巡检报告一份</w:t>
            </w:r>
          </w:p>
        </w:tc>
        <w:tc>
          <w:tcPr>
            <w:tcW w:w="1623" w:type="dxa"/>
          </w:tcPr>
          <w:p>
            <w:pPr>
              <w:spacing w:line="36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664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技术保障服务（在甲方指定的时间和地点，进行短期技术保障支持。如：设备搬迁、中药割接配合等。无限次）</w:t>
            </w:r>
          </w:p>
        </w:tc>
        <w:tc>
          <w:tcPr>
            <w:tcW w:w="1623" w:type="dxa"/>
          </w:tcPr>
          <w:p>
            <w:pPr>
              <w:spacing w:line="36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664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安装调试服务（如甲方从第三方购买的网络、完全设备，需要配合安装调试，乙方提供上门技术服务。无限次数）</w:t>
            </w:r>
          </w:p>
        </w:tc>
        <w:tc>
          <w:tcPr>
            <w:tcW w:w="1623" w:type="dxa"/>
          </w:tcPr>
          <w:p>
            <w:pPr>
              <w:spacing w:line="36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664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设备配置整理</w:t>
            </w:r>
          </w:p>
        </w:tc>
        <w:tc>
          <w:tcPr>
            <w:tcW w:w="1623" w:type="dxa"/>
          </w:tcPr>
          <w:p>
            <w:pPr>
              <w:spacing w:line="36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2年</w:t>
            </w:r>
          </w:p>
        </w:tc>
      </w:tr>
    </w:tbl>
    <w:p>
      <w:pPr>
        <w:spacing w:line="360" w:lineRule="auto"/>
        <w:rPr>
          <w:rFonts w:asciiTheme="minorEastAsia" w:hAnsiTheme="minorEastAsia" w:eastAsiaTheme="minorEastAsia"/>
          <w:color w:val="000000"/>
          <w:sz w:val="24"/>
          <w:szCs w:val="24"/>
          <w:lang w:eastAsia="zh-TW"/>
        </w:rPr>
      </w:pPr>
    </w:p>
    <w:p>
      <w:pPr>
        <w:pStyle w:val="15"/>
        <w:spacing w:line="360" w:lineRule="auto"/>
        <w:rPr>
          <w:b/>
        </w:rPr>
        <w:sectPr>
          <w:pgSz w:w="11900" w:h="16840"/>
          <w:pgMar w:top="1474" w:right="1531" w:bottom="1091" w:left="1531" w:header="851" w:footer="851" w:gutter="0"/>
          <w:cols w:space="720" w:num="1"/>
          <w:titlePg/>
          <w:docGrid w:linePitch="360" w:charSpace="0"/>
        </w:sectPr>
      </w:pPr>
    </w:p>
    <w:p>
      <w:pPr>
        <w:pStyle w:val="15"/>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asciiTheme="minorEastAsia" w:hAnsiTheme="minorEastAsia" w:eastAsiaTheme="minorEastAsia"/>
          <w:kern w:val="2"/>
          <w:sz w:val="24"/>
          <w:szCs w:val="24"/>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网络运维维保</w:t>
      </w:r>
      <w:r>
        <w:rPr>
          <w:rFonts w:hint="eastAsia" w:asciiTheme="minorEastAsia" w:hAnsiTheme="minorEastAsia" w:eastAsiaTheme="minorEastAsia"/>
          <w:sz w:val="28"/>
          <w:szCs w:val="28"/>
          <w:lang w:eastAsia="zh-TW"/>
        </w:rPr>
        <w:t>服务项目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嘉一采招（非）（服）〔2023〕27号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5"/>
        <w:rPr>
          <w:rFonts w:asciiTheme="minorEastAsia" w:hAnsiTheme="minorEastAsia" w:eastAsiaTheme="minorEastAsia"/>
        </w:rPr>
      </w:pPr>
    </w:p>
    <w:p>
      <w:pPr>
        <w:pStyle w:val="15"/>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2"/>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5"/>
        <w:ind w:firstLine="0"/>
      </w:pPr>
    </w:p>
    <w:p>
      <w:pPr>
        <w:pStyle w:val="15"/>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2"/>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2"/>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网络运维维保</w:t>
      </w:r>
      <w:r>
        <w:rPr>
          <w:rFonts w:hint="eastAsia" w:asciiTheme="minorEastAsia" w:hAnsiTheme="minorEastAsia" w:eastAsiaTheme="minorEastAsia"/>
          <w:sz w:val="28"/>
          <w:szCs w:val="28"/>
          <w:lang w:eastAsia="zh-TW"/>
        </w:rPr>
        <w:t>服务项目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嘉一采招（非）（服）〔2023〕27号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5"/>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常用备品备件设备清单及价格表</w:t>
      </w:r>
      <w:r>
        <w:rPr>
          <w:rFonts w:asciiTheme="minorEastAsia" w:hAnsiTheme="minorEastAsia" w:eastAsiaTheme="minorEastAsia"/>
          <w:sz w:val="24"/>
        </w:rPr>
        <w:t>（格式见附件</w:t>
      </w:r>
      <w:r>
        <w:rPr>
          <w:rFonts w:hint="eastAsia" w:asciiTheme="minorEastAsia" w:hAnsiTheme="minorEastAsia" w:eastAsiaTheme="minorEastAsia"/>
          <w:sz w:val="24"/>
        </w:rPr>
        <w:t>10</w:t>
      </w:r>
      <w:r>
        <w:rPr>
          <w:rFonts w:asciiTheme="minorEastAsia" w:hAnsiTheme="minorEastAsia" w:eastAsiaTheme="minorEastAsia"/>
          <w:sz w:val="24"/>
        </w:rPr>
        <w:t>）；</w:t>
      </w:r>
    </w:p>
    <w:p>
      <w:pPr>
        <w:pStyle w:val="15"/>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pStyle w:val="15"/>
        <w:jc w:val="right"/>
        <w:rPr>
          <w:rFonts w:asciiTheme="minorEastAsia" w:hAnsiTheme="minorEastAsia" w:eastAsiaTheme="minorEastAsia"/>
          <w:szCs w:val="24"/>
        </w:rPr>
      </w:pPr>
    </w:p>
    <w:p>
      <w:pPr>
        <w:pStyle w:val="15"/>
        <w:jc w:val="right"/>
        <w:rPr>
          <w:rFonts w:asciiTheme="minorEastAsia" w:hAnsiTheme="minorEastAsia" w:eastAsiaTheme="minorEastAsia"/>
          <w:szCs w:val="24"/>
        </w:rPr>
      </w:pPr>
    </w:p>
    <w:p>
      <w:pPr>
        <w:pStyle w:val="15"/>
        <w:jc w:val="right"/>
        <w:rPr>
          <w:rFonts w:asciiTheme="minorEastAsia" w:hAnsiTheme="minorEastAsia" w:eastAsiaTheme="minorEastAsia"/>
          <w:szCs w:val="24"/>
        </w:rPr>
      </w:pPr>
    </w:p>
    <w:p>
      <w:pPr>
        <w:pStyle w:val="15"/>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网络运维维保</w:t>
      </w:r>
      <w:r>
        <w:rPr>
          <w:rFonts w:hint="eastAsia" w:asciiTheme="minorEastAsia" w:hAnsiTheme="minorEastAsia" w:eastAsiaTheme="minorEastAsia"/>
          <w:sz w:val="28"/>
          <w:szCs w:val="28"/>
          <w:lang w:eastAsia="zh-TW"/>
        </w:rPr>
        <w:t>服务项目</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嘉一采招（非）（服）〔2023〕27号</w:t>
      </w:r>
    </w:p>
    <w:p>
      <w:pPr>
        <w:pStyle w:val="15"/>
      </w:pPr>
    </w:p>
    <w:tbl>
      <w:tblPr>
        <w:tblStyle w:val="12"/>
        <w:tblW w:w="8520" w:type="dxa"/>
        <w:jc w:val="center"/>
        <w:tblLayout w:type="autofit"/>
        <w:tblCellMar>
          <w:top w:w="0" w:type="dxa"/>
          <w:left w:w="108" w:type="dxa"/>
          <w:bottom w:w="0" w:type="dxa"/>
          <w:right w:w="108" w:type="dxa"/>
        </w:tblCellMar>
      </w:tblPr>
      <w:tblGrid>
        <w:gridCol w:w="2775"/>
        <w:gridCol w:w="1339"/>
        <w:gridCol w:w="2203"/>
        <w:gridCol w:w="2203"/>
      </w:tblGrid>
      <w:tr>
        <w:tblPrEx>
          <w:tblCellMar>
            <w:top w:w="0" w:type="dxa"/>
            <w:left w:w="108" w:type="dxa"/>
            <w:bottom w:w="0" w:type="dxa"/>
            <w:right w:w="108" w:type="dxa"/>
          </w:tblCellMar>
        </w:tblPrEx>
        <w:trPr>
          <w:trHeight w:val="943" w:hRule="atLeast"/>
          <w:jc w:val="center"/>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服务期限</w:t>
            </w:r>
          </w:p>
        </w:tc>
        <w:tc>
          <w:tcPr>
            <w:tcW w:w="2203"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报价（元）</w:t>
            </w:r>
          </w:p>
        </w:tc>
        <w:tc>
          <w:tcPr>
            <w:tcW w:w="2203" w:type="dxa"/>
            <w:tcBorders>
              <w:top w:val="single" w:color="auto" w:sz="4" w:space="0"/>
              <w:left w:val="nil"/>
              <w:bottom w:val="single" w:color="auto" w:sz="4" w:space="0"/>
              <w:right w:val="single" w:color="auto" w:sz="4" w:space="0"/>
            </w:tcBorders>
            <w:vAlign w:val="center"/>
          </w:tcPr>
          <w:p>
            <w:pPr>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备注</w:t>
            </w:r>
          </w:p>
        </w:tc>
      </w:tr>
      <w:tr>
        <w:tblPrEx>
          <w:tblCellMar>
            <w:top w:w="0" w:type="dxa"/>
            <w:left w:w="108" w:type="dxa"/>
            <w:bottom w:w="0" w:type="dxa"/>
            <w:right w:w="108" w:type="dxa"/>
          </w:tblCellMar>
        </w:tblPrEx>
        <w:trPr>
          <w:trHeight w:val="959" w:hRule="atLeast"/>
          <w:jc w:val="center"/>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嘉兴市第一医院</w:t>
            </w:r>
            <w:r>
              <w:rPr>
                <w:rFonts w:hint="eastAsia" w:cs="宋体" w:asciiTheme="minorEastAsia" w:hAnsiTheme="minorEastAsia" w:eastAsiaTheme="minorEastAsia"/>
                <w:sz w:val="24"/>
                <w:szCs w:val="24"/>
                <w:lang w:eastAsia="zh-CN"/>
              </w:rPr>
              <w:t>网络运维维保</w:t>
            </w:r>
            <w:r>
              <w:rPr>
                <w:rFonts w:hint="eastAsia" w:cs="宋体" w:asciiTheme="minorEastAsia" w:hAnsiTheme="minorEastAsia" w:eastAsiaTheme="minorEastAsia"/>
                <w:sz w:val="24"/>
                <w:szCs w:val="24"/>
              </w:rPr>
              <w:t>服务项目</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两</w:t>
            </w:r>
            <w:r>
              <w:rPr>
                <w:rFonts w:hint="eastAsia" w:cs="宋体" w:asciiTheme="minorEastAsia" w:hAnsiTheme="minorEastAsia" w:eastAsiaTheme="minorEastAsia"/>
                <w:sz w:val="24"/>
                <w:szCs w:val="24"/>
              </w:rPr>
              <w:t>年</w:t>
            </w:r>
          </w:p>
        </w:tc>
        <w:tc>
          <w:tcPr>
            <w:tcW w:w="2203" w:type="dxa"/>
            <w:tcBorders>
              <w:top w:val="single" w:color="auto" w:sz="4" w:space="0"/>
              <w:left w:val="nil"/>
              <w:bottom w:val="single" w:color="auto" w:sz="4" w:space="0"/>
              <w:right w:val="single" w:color="auto" w:sz="4" w:space="0"/>
            </w:tcBorders>
          </w:tcPr>
          <w:p/>
        </w:tc>
        <w:tc>
          <w:tcPr>
            <w:tcW w:w="2203" w:type="dxa"/>
            <w:tcBorders>
              <w:top w:val="single" w:color="auto" w:sz="4" w:space="0"/>
              <w:left w:val="nil"/>
              <w:bottom w:val="single" w:color="auto" w:sz="4" w:space="0"/>
              <w:right w:val="single" w:color="auto" w:sz="4" w:space="0"/>
            </w:tcBorders>
          </w:tcP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3、投标报价应为人民币含税价。</w:t>
      </w:r>
    </w:p>
    <w:p>
      <w:pPr>
        <w:pStyle w:val="15"/>
      </w:pPr>
    </w:p>
    <w:p>
      <w:pPr>
        <w:pStyle w:val="15"/>
      </w:pPr>
    </w:p>
    <w:p>
      <w:pPr>
        <w:pStyle w:val="15"/>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5"/>
      </w:pPr>
    </w:p>
    <w:p>
      <w:pPr>
        <w:pStyle w:val="15"/>
      </w:pPr>
    </w:p>
    <w:p>
      <w:pPr>
        <w:pStyle w:val="15"/>
      </w:pPr>
    </w:p>
    <w:p>
      <w:pPr>
        <w:pStyle w:val="15"/>
      </w:pPr>
    </w:p>
    <w:p>
      <w:pPr>
        <w:widowControl/>
        <w:tabs>
          <w:tab w:val="left" w:pos="284"/>
          <w:tab w:val="left" w:pos="993"/>
        </w:tabs>
        <w:snapToGrid w:val="0"/>
        <w:spacing w:before="50" w:after="50"/>
        <w:rPr>
          <w:rFonts w:asciiTheme="minorEastAsia" w:hAnsiTheme="minorEastAsia" w:eastAsiaTheme="minorEastAsia"/>
          <w:sz w:val="30"/>
        </w:rPr>
      </w:pPr>
    </w:p>
    <w:p>
      <w:pPr>
        <w:pStyle w:val="15"/>
      </w:pPr>
    </w:p>
    <w:p>
      <w:pPr>
        <w:pStyle w:val="15"/>
      </w:pPr>
    </w:p>
    <w:p>
      <w:pPr>
        <w:pStyle w:val="15"/>
      </w:pPr>
    </w:p>
    <w:p>
      <w:pPr>
        <w:pStyle w:val="15"/>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6"/>
  </w:num>
  <w:num w:numId="4">
    <w:abstractNumId w:val="8"/>
  </w:num>
  <w:num w:numId="5">
    <w:abstractNumId w:val="18"/>
  </w:num>
  <w:num w:numId="6">
    <w:abstractNumId w:val="1"/>
  </w:num>
  <w:num w:numId="7">
    <w:abstractNumId w:val="17"/>
  </w:num>
  <w:num w:numId="8">
    <w:abstractNumId w:val="25"/>
  </w:num>
  <w:num w:numId="9">
    <w:abstractNumId w:val="3"/>
  </w:num>
  <w:num w:numId="10">
    <w:abstractNumId w:val="9"/>
  </w:num>
  <w:num w:numId="11">
    <w:abstractNumId w:val="0"/>
  </w:num>
  <w:num w:numId="12">
    <w:abstractNumId w:val="14"/>
  </w:num>
  <w:num w:numId="13">
    <w:abstractNumId w:val="15"/>
  </w:num>
  <w:num w:numId="14">
    <w:abstractNumId w:val="22"/>
  </w:num>
  <w:num w:numId="15">
    <w:abstractNumId w:val="19"/>
  </w:num>
  <w:num w:numId="16">
    <w:abstractNumId w:val="12"/>
  </w:num>
  <w:num w:numId="17">
    <w:abstractNumId w:val="11"/>
  </w:num>
  <w:num w:numId="18">
    <w:abstractNumId w:val="21"/>
  </w:num>
  <w:num w:numId="19">
    <w:abstractNumId w:val="7"/>
  </w:num>
  <w:num w:numId="20">
    <w:abstractNumId w:val="2"/>
  </w:num>
  <w:num w:numId="21">
    <w:abstractNumId w:val="13"/>
  </w:num>
  <w:num w:numId="22">
    <w:abstractNumId w:val="5"/>
  </w:num>
  <w:num w:numId="23">
    <w:abstractNumId w:val="24"/>
  </w:num>
  <w:num w:numId="24">
    <w:abstractNumId w:val="2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7C14"/>
    <w:rsid w:val="001B3361"/>
    <w:rsid w:val="00210E2E"/>
    <w:rsid w:val="002D2969"/>
    <w:rsid w:val="0036250D"/>
    <w:rsid w:val="003C4029"/>
    <w:rsid w:val="003E69A3"/>
    <w:rsid w:val="004C523A"/>
    <w:rsid w:val="005C0157"/>
    <w:rsid w:val="005C7C07"/>
    <w:rsid w:val="00654C41"/>
    <w:rsid w:val="008D2077"/>
    <w:rsid w:val="008F7C14"/>
    <w:rsid w:val="009A02FA"/>
    <w:rsid w:val="009C1D98"/>
    <w:rsid w:val="00A723B6"/>
    <w:rsid w:val="00AF2CCC"/>
    <w:rsid w:val="00BD22CE"/>
    <w:rsid w:val="00C036C1"/>
    <w:rsid w:val="00D324F4"/>
    <w:rsid w:val="00DB48B2"/>
    <w:rsid w:val="00F80443"/>
    <w:rsid w:val="12347167"/>
    <w:rsid w:val="146F6D55"/>
    <w:rsid w:val="14B16DCE"/>
    <w:rsid w:val="242616E0"/>
    <w:rsid w:val="326070A9"/>
    <w:rsid w:val="35495218"/>
    <w:rsid w:val="6EC8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4">
    <w:name w:val="heading 1"/>
    <w:basedOn w:val="1"/>
    <w:next w:val="1"/>
    <w:link w:val="16"/>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eastAsia="仿宋"/>
      <w:sz w:val="28"/>
      <w:szCs w:val="24"/>
    </w:rPr>
  </w:style>
  <w:style w:type="paragraph" w:styleId="3">
    <w:name w:val="Body Text Indent"/>
    <w:basedOn w:val="1"/>
    <w:qFormat/>
    <w:uiPriority w:val="99"/>
    <w:pPr>
      <w:ind w:firstLine="830" w:firstLineChars="352"/>
    </w:pPr>
    <w:rPr>
      <w:rFonts w:ascii="仿宋_GB2312" w:hAnsi="Times New Roman" w:eastAsia="仿宋_GB2312"/>
      <w:sz w:val="32"/>
      <w:szCs w:val="20"/>
    </w:rPr>
  </w:style>
  <w:style w:type="paragraph" w:styleId="5">
    <w:name w:val="annotation text"/>
    <w:basedOn w:val="1"/>
    <w:qFormat/>
    <w:uiPriority w:val="0"/>
    <w:pPr>
      <w:jc w:val="left"/>
    </w:pPr>
    <w:rPr>
      <w:rFonts w:ascii="Times New Roman" w:hAnsi="Times New Roman"/>
    </w:rPr>
  </w:style>
  <w:style w:type="paragraph" w:styleId="6">
    <w:name w:val="Body Text"/>
    <w:basedOn w:val="1"/>
    <w:next w:val="7"/>
    <w:link w:val="23"/>
    <w:unhideWhenUsed/>
    <w:qFormat/>
    <w:uiPriority w:val="0"/>
    <w:pPr>
      <w:spacing w:after="120"/>
    </w:pPr>
    <w:rPr>
      <w:rFonts w:eastAsiaTheme="minorEastAsia" w:cstheme="minorBidi"/>
      <w:kern w:val="2"/>
      <w:sz w:val="28"/>
      <w:szCs w:val="24"/>
    </w:rPr>
  </w:style>
  <w:style w:type="paragraph" w:styleId="7">
    <w:name w:val="Body Text First Indent"/>
    <w:basedOn w:val="6"/>
    <w:next w:val="1"/>
    <w:link w:val="22"/>
    <w:qFormat/>
    <w:uiPriority w:val="0"/>
    <w:pPr>
      <w:ind w:firstLine="420" w:firstLineChars="100"/>
    </w:pPr>
    <w:rPr>
      <w:sz w:val="21"/>
    </w:rPr>
  </w:style>
  <w:style w:type="paragraph" w:styleId="8">
    <w:name w:val="index 4"/>
    <w:basedOn w:val="1"/>
    <w:next w:val="1"/>
    <w:unhideWhenUsed/>
    <w:qFormat/>
    <w:uiPriority w:val="99"/>
    <w:pPr>
      <w:ind w:left="600" w:leftChars="600"/>
    </w:pPr>
    <w:rPr>
      <w:rFonts w:ascii="Verdana" w:hAnsi="Verdana"/>
    </w:rPr>
  </w:style>
  <w:style w:type="paragraph" w:styleId="9">
    <w:name w:val="Date"/>
    <w:basedOn w:val="1"/>
    <w:next w:val="1"/>
    <w:link w:val="24"/>
    <w:semiHidden/>
    <w:unhideWhenUsed/>
    <w:qFormat/>
    <w:uiPriority w:val="99"/>
    <w:pPr>
      <w:ind w:left="100" w:leftChars="2500"/>
    </w:p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6">
    <w:name w:val="标题 1 Char"/>
    <w:basedOn w:val="14"/>
    <w:link w:val="4"/>
    <w:qFormat/>
    <w:uiPriority w:val="0"/>
    <w:rPr>
      <w:rFonts w:ascii="Arial" w:hAnsi="Arial" w:eastAsia="华文中宋" w:cs="Times New Roman"/>
      <w:b/>
      <w:color w:val="000000"/>
      <w:sz w:val="32"/>
      <w:szCs w:val="24"/>
    </w:rPr>
  </w:style>
  <w:style w:type="character" w:customStyle="1" w:styleId="17">
    <w:name w:val="页眉 Char"/>
    <w:basedOn w:val="14"/>
    <w:link w:val="11"/>
    <w:semiHidden/>
    <w:qFormat/>
    <w:uiPriority w:val="99"/>
    <w:rPr>
      <w:sz w:val="18"/>
      <w:szCs w:val="18"/>
    </w:rPr>
  </w:style>
  <w:style w:type="character" w:customStyle="1" w:styleId="18">
    <w:name w:val="页脚 Char"/>
    <w:basedOn w:val="14"/>
    <w:link w:val="10"/>
    <w:semiHidden/>
    <w:qFormat/>
    <w:uiPriority w:val="99"/>
    <w:rPr>
      <w:sz w:val="18"/>
      <w:szCs w:val="18"/>
    </w:rPr>
  </w:style>
  <w:style w:type="character" w:customStyle="1" w:styleId="19">
    <w:name w:val="列出段落 Char"/>
    <w:link w:val="20"/>
    <w:qFormat/>
    <w:uiPriority w:val="34"/>
    <w:rPr>
      <w:rFonts w:ascii="Times New Roman" w:hAnsi="Times New Roman" w:cs="Times New Roman"/>
      <w:sz w:val="24"/>
      <w:szCs w:val="24"/>
      <w:lang w:eastAsia="en-US"/>
    </w:rPr>
  </w:style>
  <w:style w:type="paragraph" w:styleId="20">
    <w:name w:val="List Paragraph"/>
    <w:basedOn w:val="1"/>
    <w:link w:val="19"/>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1">
    <w:name w:val="正文文本 Char"/>
    <w:link w:val="6"/>
    <w:qFormat/>
    <w:uiPriority w:val="0"/>
    <w:rPr>
      <w:rFonts w:ascii="Calibri" w:hAnsi="Calibri"/>
      <w:sz w:val="28"/>
      <w:szCs w:val="24"/>
    </w:rPr>
  </w:style>
  <w:style w:type="character" w:customStyle="1" w:styleId="22">
    <w:name w:val="正文首行缩进 Char"/>
    <w:basedOn w:val="23"/>
    <w:link w:val="7"/>
    <w:qFormat/>
    <w:uiPriority w:val="0"/>
    <w:rPr>
      <w:szCs w:val="24"/>
    </w:rPr>
  </w:style>
  <w:style w:type="character" w:customStyle="1" w:styleId="23">
    <w:name w:val="正文文本 Char1"/>
    <w:basedOn w:val="14"/>
    <w:link w:val="6"/>
    <w:semiHidden/>
    <w:qFormat/>
    <w:uiPriority w:val="99"/>
    <w:rPr>
      <w:rFonts w:ascii="Calibri" w:hAnsi="Calibri" w:eastAsia="宋体" w:cs="Times New Roman"/>
      <w:kern w:val="0"/>
      <w:sz w:val="20"/>
      <w:szCs w:val="20"/>
    </w:rPr>
  </w:style>
  <w:style w:type="character" w:customStyle="1" w:styleId="24">
    <w:name w:val="日期 Char"/>
    <w:basedOn w:val="14"/>
    <w:link w:val="9"/>
    <w:semiHidden/>
    <w:qFormat/>
    <w:uiPriority w:val="99"/>
    <w:rPr>
      <w:rFonts w:ascii="Calibri" w:hAnsi="Calibri" w:eastAsia="宋体" w:cs="Times New Roman"/>
      <w:kern w:val="0"/>
      <w:sz w:val="20"/>
      <w:szCs w:val="20"/>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6">
    <w:name w:val="font21"/>
    <w:basedOn w:val="14"/>
    <w:qFormat/>
    <w:uiPriority w:val="0"/>
    <w:rPr>
      <w:rFonts w:hint="eastAsia" w:ascii="宋体" w:hAnsi="宋体" w:eastAsia="宋体" w:cs="宋体"/>
      <w:color w:val="000000"/>
      <w:sz w:val="21"/>
      <w:szCs w:val="21"/>
      <w:u w:val="none"/>
    </w:rPr>
  </w:style>
  <w:style w:type="character" w:customStyle="1" w:styleId="27">
    <w:name w:val="font11"/>
    <w:basedOn w:val="14"/>
    <w:qFormat/>
    <w:uiPriority w:val="0"/>
    <w:rPr>
      <w:rFonts w:hint="eastAsia" w:ascii="宋体" w:hAnsi="宋体" w:eastAsia="宋体" w:cs="宋体"/>
      <w:color w:val="000000"/>
      <w:sz w:val="21"/>
      <w:szCs w:val="21"/>
      <w:u w:val="none"/>
    </w:rPr>
  </w:style>
  <w:style w:type="character" w:customStyle="1" w:styleId="28">
    <w:name w:val="font71"/>
    <w:basedOn w:val="14"/>
    <w:qFormat/>
    <w:uiPriority w:val="0"/>
    <w:rPr>
      <w:rFonts w:hint="eastAsia" w:ascii="宋体" w:hAnsi="宋体" w:eastAsia="宋体" w:cs="宋体"/>
      <w:color w:val="000000"/>
      <w:sz w:val="20"/>
      <w:szCs w:val="20"/>
      <w:u w:val="none"/>
    </w:rPr>
  </w:style>
  <w:style w:type="paragraph" w:customStyle="1" w:styleId="29">
    <w:name w:val="Char Char Char Char1 Char Char Char Char Char Char"/>
    <w:basedOn w:val="1"/>
    <w:qFormat/>
    <w:uiPriority w:val="0"/>
    <w:rPr>
      <w:rFonts w:ascii="Times New Roman" w:hAnsi="Times New Roman"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1959</Words>
  <Characters>11168</Characters>
  <Lines>93</Lines>
  <Paragraphs>26</Paragraphs>
  <TotalTime>0</TotalTime>
  <ScaleCrop>false</ScaleCrop>
  <LinksUpToDate>false</LinksUpToDate>
  <CharactersWithSpaces>13101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2022-08-11T00:55:00Z</dcterms:created>
  <dc:creator>王延春(00192382)</dc:creator>
  <cp:lastModifiedBy>his</cp:lastModifiedBy>
  <dcterms:modified xsi:type="dcterms:W3CDTF">2023-04-20T08:59:46Z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